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Пояснительная информация к отчету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ходе реализации муниципальной программы Владимировского сельского поселения «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Развитие транспортной системы</w:t>
      </w:r>
      <w:r>
        <w:rPr>
          <w:rFonts w:ascii="Times New Roman" w:hAnsi="Times New Roman"/>
          <w:sz w:val="28"/>
        </w:rPr>
        <w:t xml:space="preserve">» на 2025 год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итогам I полугодия 2025 года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   </w:t>
      </w:r>
      <w:r>
        <w:rPr>
          <w:rFonts w:ascii="Times New Roman" w:hAnsi="Times New Roman"/>
          <w:sz w:val="28"/>
        </w:rPr>
        <w:t>Муниципальная программа Владимировского сельского поселения «</w:t>
      </w:r>
      <w:r>
        <w:rPr>
          <w:rFonts w:ascii="Times New Roman" w:hAnsi="Times New Roman"/>
          <w:color w:val="auto"/>
          <w:sz w:val="28"/>
          <w:szCs w:val="28"/>
          <w:lang w:eastAsia="zh-CN"/>
        </w:rPr>
        <w:t>Развитие транспортной системы</w:t>
      </w:r>
      <w:r>
        <w:rPr>
          <w:rFonts w:ascii="Times New Roman" w:hAnsi="Times New Roman"/>
          <w:sz w:val="28"/>
        </w:rPr>
        <w:t xml:space="preserve">» (далее – Муниципальная программа) утверждена постановлением Администрации Владимировского сельского поселения от 20.10.2018 № 105. На реализацию муниципальной программы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322,2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322,2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</w:t>
      </w:r>
      <w:r>
        <w:rPr/>
        <w:br/>
      </w:r>
      <w:r>
        <w:rPr>
          <w:rFonts w:ascii="Times New Roman" w:hAnsi="Times New Roman"/>
          <w:sz w:val="28"/>
        </w:rPr>
        <w:t xml:space="preserve">по итогам I полугодия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100,1</w:t>
      </w:r>
      <w:r>
        <w:rPr>
          <w:rFonts w:ascii="Times New Roman" w:hAnsi="Times New Roman"/>
          <w:sz w:val="28"/>
        </w:rPr>
        <w:t xml:space="preserve"> тыс. рублей </w:t>
      </w:r>
      <w:r>
        <w:rPr/>
        <w:br/>
      </w:r>
      <w:r>
        <w:rPr>
          <w:rFonts w:ascii="Times New Roman" w:hAnsi="Times New Roman"/>
          <w:sz w:val="28"/>
        </w:rPr>
        <w:t xml:space="preserve">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31,07 </w:t>
      </w:r>
      <w:r>
        <w:rPr>
          <w:rFonts w:ascii="Times New Roman" w:hAnsi="Times New Roman"/>
          <w:sz w:val="28"/>
        </w:rPr>
        <w:t>процента от предусмотренного сводной бюджетной росписью объема.</w:t>
      </w:r>
    </w:p>
    <w:p>
      <w:pPr>
        <w:pStyle w:val="Normal"/>
        <w:spacing w:lineRule="auto" w:line="240" w:before="0" w:after="0"/>
        <w:jc w:val="both"/>
        <w:rPr/>
      </w:pPr>
      <w:r>
        <w:rPr/>
        <w:tab/>
        <w:t xml:space="preserve">        </w:t>
      </w:r>
      <w:r>
        <w:rPr>
          <w:rFonts w:ascii="Times New Roman" w:hAnsi="Times New Roman"/>
          <w:sz w:val="28"/>
        </w:rPr>
        <w:t xml:space="preserve">В рамках муниципальной программы в 2025 году предусмотрено достижение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показателей муниципальной программы, достижение которых запланировано на конец 2025 года.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</w:r>
      <w:r>
        <w:rPr>
          <w:rFonts w:ascii="Times New Roman" w:hAnsi="Times New Roman"/>
          <w:sz w:val="28"/>
        </w:rPr>
        <w:t>Муниципальная программа включает в себя следующие структурные элементы: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Комплекс процессных мероприятий – «Ремонт и содержание автомобильных </w:t>
      </w:r>
      <w:r>
        <w:rPr>
          <w:rStyle w:val="11"/>
          <w:rFonts w:ascii="Times New Roman" w:hAnsi="Times New Roman"/>
          <w:sz w:val="28"/>
          <w:szCs w:val="28"/>
        </w:rPr>
        <w:t>дорог общего пользования местного значения и искусственных сооружений на них</w:t>
      </w:r>
      <w:r>
        <w:rPr>
          <w:rFonts w:ascii="Times New Roman" w:hAnsi="Times New Roman"/>
          <w:sz w:val="28"/>
        </w:rPr>
        <w:t>» (далее – КПМ 1);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Комплекс процессных мероприятий – «</w:t>
      </w:r>
      <w:r>
        <w:rPr>
          <w:rStyle w:val="11"/>
          <w:rFonts w:ascii="Times New Roman" w:hAnsi="Times New Roman"/>
          <w:sz w:val="28"/>
          <w:szCs w:val="28"/>
        </w:rPr>
        <w:t>Повышение безопасности дорожного движения на территории Владимировского поселения</w:t>
      </w:r>
      <w:r>
        <w:rPr>
          <w:rFonts w:ascii="Times New Roman" w:hAnsi="Times New Roman"/>
          <w:sz w:val="28"/>
        </w:rPr>
        <w:t>» (далее – КПМ 2).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Единый аналитический план реализации муниципальной программы </w:t>
      </w:r>
      <w:r>
        <w:rPr/>
        <w:br/>
      </w:r>
      <w:r>
        <w:rPr>
          <w:rFonts w:ascii="Times New Roman" w:hAnsi="Times New Roman"/>
          <w:sz w:val="28"/>
        </w:rPr>
        <w:t xml:space="preserve">на 2025 год (далее – План) утвержден распоряжением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Администрации Владимировского сельского поселения </w:t>
      </w:r>
      <w:r>
        <w:rPr>
          <w:rFonts w:ascii="Times New Roman" w:hAnsi="Times New Roman"/>
          <w:sz w:val="28"/>
        </w:rPr>
        <w:t xml:space="preserve">от 23.12.2024 №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21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1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322,2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322,2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100,1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31,07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показател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я</w:t>
      </w:r>
      <w:r>
        <w:rPr>
          <w:rFonts w:ascii="Times New Roman" w:hAnsi="Times New Roman"/>
          <w:sz w:val="28"/>
        </w:rPr>
        <w:t>, достижение которых запланировано на конец 2025 года.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В рамках КПМ 1 в 2025 году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 xml:space="preserve"> мероприяти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е</w:t>
      </w:r>
      <w:r>
        <w:rPr>
          <w:rFonts w:ascii="Times New Roman" w:hAnsi="Times New Roman"/>
          <w:sz w:val="28"/>
        </w:rPr>
        <w:t xml:space="preserve"> (результат), исполнение которых будет осуществлено в срок до 31.12.2025.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Достижение задач КПМ 1 оценивается на основании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</w:t>
      </w:r>
      <w:r>
        <w:rPr>
          <w:rFonts w:ascii="Times New Roman" w:hAnsi="Times New Roman"/>
          <w:sz w:val="28"/>
        </w:rPr>
        <w:t xml:space="preserve"> контрольных точек.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/>
        <w:tab/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достигнуты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4</w:t>
      </w:r>
      <w:r>
        <w:rPr>
          <w:rFonts w:ascii="Times New Roman" w:hAnsi="Times New Roman"/>
          <w:sz w:val="28"/>
        </w:rPr>
        <w:t xml:space="preserve"> контрольных точ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ки</w:t>
      </w:r>
      <w:r>
        <w:rPr>
          <w:rFonts w:ascii="Times New Roman" w:hAnsi="Times New Roman"/>
          <w:sz w:val="28"/>
        </w:rPr>
        <w:t>, из них: ранее запланированного срока – 4.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Ранее запланированного срока достигнуты следующие контрольные точки: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закупки включены в план-график закупок, идентификационный код закупок:</w:t>
      </w:r>
    </w:p>
    <w:p>
      <w:pPr>
        <w:pStyle w:val="Normal"/>
        <w:widowControl w:val="false"/>
        <w:tabs>
          <w:tab w:val="clear" w:pos="720"/>
          <w:tab w:val="left" w:pos="11057" w:leader="none"/>
        </w:tabs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253614855589461480100100010000000244</w:t>
      </w:r>
      <w:r>
        <w:rPr>
          <w:rFonts w:ascii="Times New Roman" w:hAnsi="Times New Roman"/>
          <w:sz w:val="28"/>
        </w:rPr>
        <w:t xml:space="preserve"> (контрольная точка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1</w:t>
      </w:r>
      <w:r>
        <w:rPr>
          <w:rFonts w:ascii="Times New Roman" w:hAnsi="Times New Roman"/>
          <w:sz w:val="28"/>
        </w:rPr>
        <w:t>.1);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заключены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муниципальные</w:t>
      </w:r>
      <w:r>
        <w:rPr>
          <w:rFonts w:ascii="Times New Roman" w:hAnsi="Times New Roman"/>
          <w:sz w:val="28"/>
          <w:szCs w:val="28"/>
        </w:rPr>
        <w:t xml:space="preserve"> контракты от 18.02.2025 № 26,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24</w:t>
      </w:r>
      <w:r>
        <w:rPr>
          <w:rFonts w:ascii="Times New Roman" w:hAnsi="Times New Roman"/>
          <w:sz w:val="28"/>
          <w:szCs w:val="28"/>
        </w:rPr>
        <w:t>.04.2025 № 41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на </w:t>
      </w:r>
      <w:r>
        <w:rPr>
          <w:rFonts w:eastAsia="NSimSun" w:cs="Times New Roman" w:ascii="Times New Roman" w:hAnsi="Times New Roman"/>
          <w:color w:val="000000"/>
          <w:spacing w:val="0"/>
          <w:kern w:val="0"/>
          <w:sz w:val="28"/>
          <w:szCs w:val="28"/>
          <w:lang w:val="ru-RU" w:eastAsia="ru-RU" w:bidi="hi-IN"/>
        </w:rPr>
        <w:t xml:space="preserve"> содержание сети автомобильных дорог общего пользования местного значения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(контрольная точка 1.2);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сведения 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муниципальн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ых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 xml:space="preserve">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контракт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ах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внесены в реестр контрактов, заключенных заказчиками по результатам закупок (контрольная точка 1.3);</w:t>
      </w:r>
    </w:p>
    <w:p>
      <w:pPr>
        <w:pStyle w:val="Normal"/>
        <w:widowControl w:val="false"/>
        <w:tabs>
          <w:tab w:val="clear" w:pos="720"/>
          <w:tab w:val="left" w:pos="1134" w:leader="none"/>
        </w:tabs>
        <w:spacing w:lineRule="auto" w:line="240" w:before="0" w:after="0"/>
        <w:ind w:left="0" w:right="0" w:hanging="0"/>
        <w:jc w:val="both"/>
        <w:rPr>
          <w:rFonts w:ascii="Times New Roman" w:hAnsi="Times New Roman"/>
          <w:sz w:val="28"/>
        </w:rPr>
      </w:pP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 xml:space="preserve">       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8"/>
          <w:lang w:val="ru-RU" w:eastAsia="zh-CN" w:bidi="hi-IN"/>
        </w:rPr>
        <w:t>произведена оплата по муниципальным контрактам, платежные поручения №170049 от 11.03.2025, №18206 от 24.04.2025 (контрольная точка 1.4).</w:t>
      </w:r>
    </w:p>
    <w:p>
      <w:pPr>
        <w:pStyle w:val="Normal"/>
        <w:widowControl w:val="false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>На реализацию</w:t>
      </w:r>
      <w:r>
        <w:rPr>
          <w:rFonts w:ascii="Times New Roman" w:hAnsi="Times New Roman"/>
          <w:b w:val="false"/>
          <w:sz w:val="28"/>
        </w:rPr>
        <w:t xml:space="preserve"> КПМ </w:t>
      </w:r>
      <w:r>
        <w:rPr>
          <w:rFonts w:eastAsia="NSimSun" w:cs="Mangal" w:ascii="Times New Roman" w:hAnsi="Times New Roman"/>
          <w:b w:val="false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муниципальной программой предусмотрено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0,0</w:t>
      </w:r>
      <w:r>
        <w:rPr>
          <w:rFonts w:ascii="Times New Roman" w:hAnsi="Times New Roman"/>
          <w:sz w:val="28"/>
        </w:rPr>
        <w:t xml:space="preserve"> тыс. рублей, сводной бюджетной росписью –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0,0</w:t>
      </w:r>
      <w:r>
        <w:rPr>
          <w:rFonts w:ascii="Times New Roman" w:hAnsi="Times New Roman"/>
          <w:sz w:val="28"/>
        </w:rPr>
        <w:t xml:space="preserve"> тыс. рублей. Фактическое освоение средств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составило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0,0</w:t>
      </w:r>
      <w:r>
        <w:rPr>
          <w:rFonts w:ascii="Times New Roman" w:hAnsi="Times New Roman"/>
          <w:sz w:val="28"/>
        </w:rPr>
        <w:t xml:space="preserve"> тыс. рублей или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0</w:t>
      </w:r>
      <w:r>
        <w:rPr>
          <w:rFonts w:ascii="Times New Roman" w:hAnsi="Times New Roman"/>
          <w:sz w:val="28"/>
        </w:rPr>
        <w:t xml:space="preserve"> процентов от предусмотренного сводной бюджетной росписью объема.</w:t>
      </w:r>
    </w:p>
    <w:p>
      <w:pPr>
        <w:pStyle w:val="Normal"/>
        <w:spacing w:lineRule="auto" w:line="240" w:before="0" w:after="0"/>
        <w:ind w:left="0" w:right="0" w:firstLine="709"/>
        <w:jc w:val="both"/>
        <w:rPr/>
      </w:pPr>
      <w:r>
        <w:rPr>
          <w:rFonts w:ascii="Times New Roman" w:hAnsi="Times New Roman"/>
          <w:sz w:val="28"/>
        </w:rPr>
        <w:t xml:space="preserve">В рамках КПМ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2</w:t>
      </w:r>
      <w:r>
        <w:rPr>
          <w:rFonts w:ascii="Times New Roman" w:hAnsi="Times New Roman"/>
          <w:sz w:val="28"/>
        </w:rPr>
        <w:t xml:space="preserve"> в 2025 году выполнение мероприятий в 2025 году не предусмотрено.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/>
        <w:tab/>
      </w:r>
      <w:r>
        <w:rPr>
          <w:rFonts w:ascii="Times New Roman" w:hAnsi="Times New Roman"/>
          <w:sz w:val="28"/>
        </w:rPr>
        <w:t>В ходе анализа исполнения Плана муниципальной программы</w:t>
      </w:r>
      <w:r>
        <w:rPr/>
        <w:t xml:space="preserve"> </w:t>
        <w:br/>
      </w:r>
      <w:r>
        <w:rPr>
          <w:rFonts w:ascii="Times New Roman" w:hAnsi="Times New Roman"/>
          <w:sz w:val="28"/>
        </w:rPr>
        <w:t xml:space="preserve">на 2025 год 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не установлено несоблюдение сроков исполнения контрольных точек и мероприятий (результатов).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</w:rPr>
      </w:pPr>
      <w:r>
        <w:rPr/>
        <w:tab/>
        <w:t xml:space="preserve">    </w:t>
      </w:r>
      <w:r>
        <w:rPr>
          <w:rFonts w:ascii="Times New Roman" w:hAnsi="Times New Roman"/>
          <w:sz w:val="28"/>
        </w:rPr>
        <w:t xml:space="preserve">По итогам I </w:t>
      </w:r>
      <w:r>
        <w:rPr>
          <w:rFonts w:eastAsia="NSimSun" w:cs="Mangal" w:ascii="Times New Roman" w:hAnsi="Times New Roman"/>
          <w:color w:val="000000"/>
          <w:spacing w:val="0"/>
          <w:kern w:val="0"/>
          <w:sz w:val="28"/>
          <w:szCs w:val="20"/>
          <w:lang w:val="ru-RU" w:eastAsia="zh-CN" w:bidi="hi-IN"/>
        </w:rPr>
        <w:t>полугодия</w:t>
      </w:r>
      <w:r>
        <w:rPr>
          <w:rFonts w:ascii="Times New Roman" w:hAnsi="Times New Roman"/>
          <w:sz w:val="28"/>
        </w:rPr>
        <w:t xml:space="preserve"> 2025 года риски неисполнения мероприятий (результатов), недостижения плановых значений показателей и контрольных точек муниципальной программы отсутствуют.</w:t>
      </w:r>
    </w:p>
    <w:sectPr>
      <w:headerReference w:type="default" r:id="rId2"/>
      <w:type w:val="nextPage"/>
      <w:pgSz w:w="11906" w:h="16838"/>
      <w:pgMar w:left="1304" w:right="737" w:header="720" w:top="1134" w:footer="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  <w:p>
    <w:pPr>
      <w:pStyle w:val="Style15"/>
      <w:jc w:val="center"/>
      <w:rPr/>
    </w:pPr>
    <w:r>
      <w:rPr/>
      <mc:AlternateContent>
        <mc:Choice Requires="wps">
          <w:drawing>
            <wp:anchor behindDoc="1" distT="0" distB="0" distL="114935" distR="114935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5080</wp:posOffset>
              </wp:positionV>
              <wp:extent cx="1275080" cy="386080"/>
              <wp:effectExtent l="0" t="0" r="0" b="0"/>
              <wp:wrapSquare wrapText="bothSides"/>
              <wp:docPr id="1" name="Pictur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274400" cy="385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jc w:val="center"/>
                            <w:rPr>
                              <w:color w:val="000000"/>
                              <w:spacing w:val="0"/>
                            </w:rPr>
                          </w:pPr>
                          <w:r>
                            <w:rPr>
                              <w:color w:val="000000"/>
                              <w:spacing w:val="0"/>
                            </w:rPr>
                          </w:r>
                        </w:p>
                      </w:txbxContent>
                    </wps:txbx>
                    <wps:bodyPr lIns="45720" rIns="4572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Picture 1" stroked="f" style="position:absolute;margin-left:196.4pt;margin-top:0.4pt;width:100.3pt;height:30.3pt;mso-position-horizontal:center;mso-position-horizontal-relative:margin">
              <w10:wrap type="none"/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jc w:val="center"/>
                      <w:rPr>
                        <w:color w:val="000000"/>
                        <w:spacing w:val="0"/>
                      </w:rPr>
                    </w:pPr>
                    <w:r>
                      <w:rPr>
                        <w:color w:val="000000"/>
                        <w:spacing w:val="0"/>
                      </w:rPr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Mangal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5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End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2_ch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link w:val="Style_11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Mangal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link w:val="Style_21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Mangal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2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Mangal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1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Mangal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Style_3"/>
    <w:qFormat/>
    <w:rPr>
      <w:rFonts w:ascii="XO Thames" w:hAnsi="XO Thames"/>
      <w:sz w:val="28"/>
    </w:rPr>
  </w:style>
  <w:style w:type="character" w:styleId="Contents4">
    <w:name w:val="Contents 4"/>
    <w:link w:val="Style_4"/>
    <w:qFormat/>
    <w:rPr>
      <w:rFonts w:ascii="XO Thames" w:hAnsi="XO Thames"/>
      <w:sz w:val="28"/>
    </w:rPr>
  </w:style>
  <w:style w:type="character" w:styleId="Contents6">
    <w:name w:val="Contents 6"/>
    <w:link w:val="Style_5"/>
    <w:qFormat/>
    <w:rPr>
      <w:rFonts w:ascii="XO Thames" w:hAnsi="XO Thames"/>
      <w:sz w:val="28"/>
    </w:rPr>
  </w:style>
  <w:style w:type="character" w:styleId="Contents7">
    <w:name w:val="Contents 7"/>
    <w:link w:val="Style_6"/>
    <w:qFormat/>
    <w:rPr>
      <w:rFonts w:ascii="XO Thames" w:hAnsi="XO Thames"/>
      <w:sz w:val="28"/>
    </w:rPr>
  </w:style>
  <w:style w:type="character" w:styleId="Endnote">
    <w:name w:val="Endnote"/>
    <w:link w:val="Style_7"/>
    <w:qFormat/>
    <w:rPr>
      <w:rFonts w:ascii="XO Thames" w:hAnsi="XO Thames"/>
      <w:sz w:val="22"/>
    </w:rPr>
  </w:style>
  <w:style w:type="character" w:styleId="Heading3">
    <w:name w:val="Heading 3"/>
    <w:link w:val="Style_8"/>
    <w:qFormat/>
    <w:rPr>
      <w:rFonts w:ascii="XO Thames" w:hAnsi="XO Thames"/>
      <w:b/>
      <w:sz w:val="26"/>
    </w:rPr>
  </w:style>
  <w:style w:type="character" w:styleId="Contents3">
    <w:name w:val="Contents 3"/>
    <w:link w:val="Style_9"/>
    <w:qFormat/>
    <w:rPr>
      <w:rFonts w:ascii="XO Thames" w:hAnsi="XO Thames"/>
      <w:sz w:val="28"/>
    </w:rPr>
  </w:style>
  <w:style w:type="character" w:styleId="Heading5">
    <w:name w:val="Heading 5"/>
    <w:link w:val="Style_10"/>
    <w:qFormat/>
    <w:rPr>
      <w:rFonts w:ascii="XO Thames" w:hAnsi="XO Thames"/>
      <w:b/>
      <w:sz w:val="22"/>
    </w:rPr>
  </w:style>
  <w:style w:type="character" w:styleId="Heading1">
    <w:name w:val="Heading 1"/>
    <w:link w:val="Style_11"/>
    <w:qFormat/>
    <w:rPr>
      <w:rFonts w:ascii="XO Thames" w:hAnsi="XO Thames"/>
      <w:b/>
      <w:sz w:val="32"/>
    </w:rPr>
  </w:style>
  <w:style w:type="character" w:styleId="Style9">
    <w:name w:val="Интернет-ссылка"/>
    <w:link w:val="Style_12"/>
    <w:rPr>
      <w:color w:val="0000FF"/>
      <w:u w:val="single"/>
    </w:rPr>
  </w:style>
  <w:style w:type="character" w:styleId="Footnote">
    <w:name w:val="Footnote"/>
    <w:link w:val="Style_13"/>
    <w:qFormat/>
    <w:rPr>
      <w:rFonts w:ascii="XO Thames" w:hAnsi="XO Thames"/>
      <w:sz w:val="22"/>
    </w:rPr>
  </w:style>
  <w:style w:type="character" w:styleId="Contents1">
    <w:name w:val="Contents 1"/>
    <w:link w:val="Style_14"/>
    <w:qFormat/>
    <w:rPr>
      <w:rFonts w:ascii="XO Thames" w:hAnsi="XO Thames"/>
      <w:b/>
      <w:sz w:val="28"/>
    </w:rPr>
  </w:style>
  <w:style w:type="character" w:styleId="HeaderandFooter">
    <w:name w:val="Header and Footer"/>
    <w:link w:val="Style_1"/>
    <w:qFormat/>
    <w:rPr>
      <w:rFonts w:ascii="XO Thames" w:hAnsi="XO Thames"/>
      <w:sz w:val="28"/>
    </w:rPr>
  </w:style>
  <w:style w:type="character" w:styleId="Contents9">
    <w:name w:val="Contents 9"/>
    <w:link w:val="Style_15"/>
    <w:qFormat/>
    <w:rPr>
      <w:rFonts w:ascii="XO Thames" w:hAnsi="XO Thames"/>
      <w:sz w:val="28"/>
    </w:rPr>
  </w:style>
  <w:style w:type="character" w:styleId="Contents8">
    <w:name w:val="Contents 8"/>
    <w:link w:val="Style_16"/>
    <w:qFormat/>
    <w:rPr>
      <w:rFonts w:ascii="XO Thames" w:hAnsi="XO Thames"/>
      <w:sz w:val="28"/>
    </w:rPr>
  </w:style>
  <w:style w:type="character" w:styleId="Contents5">
    <w:name w:val="Contents 5"/>
    <w:link w:val="Style_17"/>
    <w:qFormat/>
    <w:rPr>
      <w:rFonts w:ascii="XO Thames" w:hAnsi="XO Thames"/>
      <w:sz w:val="28"/>
    </w:rPr>
  </w:style>
  <w:style w:type="character" w:styleId="Subtitle">
    <w:name w:val="Subtitle"/>
    <w:link w:val="Style_18"/>
    <w:qFormat/>
    <w:rPr>
      <w:rFonts w:ascii="XO Thames" w:hAnsi="XO Thames"/>
      <w:i/>
      <w:sz w:val="24"/>
    </w:rPr>
  </w:style>
  <w:style w:type="character" w:styleId="Title">
    <w:name w:val="Title"/>
    <w:link w:val="Style_19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20"/>
    <w:qFormat/>
    <w:rPr>
      <w:rFonts w:ascii="XO Thames" w:hAnsi="XO Thames"/>
      <w:b/>
      <w:sz w:val="24"/>
    </w:rPr>
  </w:style>
  <w:style w:type="character" w:styleId="Heading2">
    <w:name w:val="Heading 2"/>
    <w:link w:val="Style_21"/>
    <w:qFormat/>
    <w:rPr>
      <w:rFonts w:ascii="XO Thames" w:hAnsi="XO Thames"/>
      <w:b/>
      <w:sz w:val="28"/>
    </w:rPr>
  </w:style>
  <w:style w:type="character" w:styleId="11">
    <w:name w:val="Обычный1"/>
    <w:qFormat/>
    <w:rPr/>
  </w:style>
  <w:style w:type="paragraph" w:styleId="Style10">
    <w:name w:val="Заголовок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Mang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21">
    <w:name w:val="TOC 2"/>
    <w:next w:val="Normal"/>
    <w:link w:val="Style_3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link w:val="Style_4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link w:val="Style_5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6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Style_7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31">
    <w:name w:val="TOC 3"/>
    <w:next w:val="Normal"/>
    <w:link w:val="Style_9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link w:val="Style_12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color w:val="0000FF"/>
      <w:spacing w:val="0"/>
      <w:kern w:val="0"/>
      <w:sz w:val="28"/>
      <w:szCs w:val="20"/>
      <w:u w:val="single"/>
      <w:lang w:val="ru-RU" w:eastAsia="zh-CN" w:bidi="hi-IN"/>
    </w:rPr>
  </w:style>
  <w:style w:type="paragraph" w:styleId="Footnote1">
    <w:name w:val="Footnote"/>
    <w:link w:val="Style_13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Mangal"/>
      <w:color w:val="000000"/>
      <w:spacing w:val="0"/>
      <w:kern w:val="0"/>
      <w:sz w:val="22"/>
      <w:szCs w:val="20"/>
      <w:lang w:val="ru-RU" w:eastAsia="zh-CN" w:bidi="hi-IN"/>
    </w:rPr>
  </w:style>
  <w:style w:type="paragraph" w:styleId="12">
    <w:name w:val="TOC 1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Mangal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Верхний и нижний колонтитулы"/>
    <w:link w:val="Style_1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link w:val="Style_15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link w:val="Style_16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link w:val="Style_17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Mangal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Subtitle"/>
    <w:next w:val="Normal"/>
    <w:link w:val="Style_18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Mangal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7">
    <w:name w:val="Title"/>
    <w:next w:val="Normal"/>
    <w:link w:val="Style_19_ch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Mangal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8">
    <w:name w:val="Header"/>
    <w:basedOn w:val="Style15"/>
    <w:pPr/>
    <w:rPr/>
  </w:style>
  <w:style w:type="paragraph" w:styleId="Style19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Application>LibreOffice/6.4.5.2$Windows_x86 LibreOffice_project/a726b36747cf2001e06b58ad5db1aa3a9a1872d6</Application>
  <Pages>2</Pages>
  <Words>445</Words>
  <Characters>3069</Characters>
  <CharactersWithSpaces>3553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2025-07-17T10:53:35Z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ScaleCrop">
    <vt:bool>0</vt:bool>
  </property>
</Properties>
</file>