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«</w:t>
      </w:r>
      <w:r>
        <w:rPr>
          <w:rFonts w:ascii="Times New Roman" w:hAnsi="Times New Roman"/>
          <w:b/>
          <w:bCs/>
          <w:i w:val="false"/>
          <w:iCs w:val="false"/>
          <w:color w:val="auto"/>
          <w:sz w:val="22"/>
          <w:szCs w:val="22"/>
          <w:lang w:eastAsia="zh-CN"/>
        </w:rPr>
        <w:t>Обеспечение пожарной безопасности и безопасности людей на водных объектах, профилактика терроризма и экстремизма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3"/>
        <w:gridCol w:w="1794"/>
        <w:gridCol w:w="676"/>
        <w:gridCol w:w="998"/>
        <w:gridCol w:w="947"/>
        <w:gridCol w:w="914"/>
        <w:gridCol w:w="1117"/>
        <w:gridCol w:w="1041"/>
        <w:gridCol w:w="1124"/>
        <w:gridCol w:w="867"/>
        <w:gridCol w:w="866"/>
        <w:gridCol w:w="1142"/>
        <w:gridCol w:w="1693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фактического/ прогнозного значения за отчетный период</w:t>
            </w:r>
          </w:p>
        </w:tc>
        <w:tc>
          <w:tcPr>
            <w:tcW w:w="17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Уровень показателя</w:t>
            </w:r>
          </w:p>
        </w:tc>
        <w:tc>
          <w:tcPr>
            <w:tcW w:w="99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возрастания/ убывания</w:t>
            </w:r>
          </w:p>
        </w:tc>
        <w:tc>
          <w:tcPr>
            <w:tcW w:w="9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Единица измерения (по ОКЕИ)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отчетного периода</w:t>
            </w:r>
          </w:p>
        </w:tc>
        <w:tc>
          <w:tcPr>
            <w:tcW w:w="11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отчетного периода</w:t>
            </w:r>
          </w:p>
        </w:tc>
        <w:tc>
          <w:tcPr>
            <w:tcW w:w="11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Подтверждающий документ</w:t>
            </w:r>
          </w:p>
        </w:tc>
        <w:tc>
          <w:tcPr>
            <w:tcW w:w="86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 на конец текущего года</w:t>
            </w:r>
          </w:p>
        </w:tc>
        <w:tc>
          <w:tcPr>
            <w:tcW w:w="8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текущего года</w:t>
            </w:r>
          </w:p>
        </w:tc>
        <w:tc>
          <w:tcPr>
            <w:tcW w:w="11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6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789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1. Цель муниципальной программы «</w:t>
            </w: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Предотвращение и снижение риска возникновения пожаров и происшествий на водных объектах, а также минимизация социального и экономического ущерба, наносимого населению, экономике и природной среде, от пожаров и происшествий на водных объектах</w:t>
            </w:r>
            <w:r>
              <w:rPr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Количество пострадавших от пожаров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false"/>
              <w:spacing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убывание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человек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1.2.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Количество пострадавших на водных объектах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false"/>
              <w:spacing w:before="0" w:after="200"/>
              <w:ind w:left="0" w:right="0" w:hanging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убывание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человек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28"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14789" w:type="dxa"/>
            <w:gridSpan w:val="14"/>
            <w:tcBorders/>
          </w:tcPr>
          <w:p>
            <w:pPr>
              <w:pStyle w:val="Normal"/>
              <w:widowControl/>
              <w:suppressAutoHyphens w:val="false"/>
              <w:spacing w:lineRule="auto" w:line="240" w:before="0" w:after="0"/>
              <w:jc w:val="center"/>
              <w:rPr>
                <w:color w:val="000000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2"/>
                <w:lang w:val="ru-RU" w:eastAsia="ru-RU" w:bidi="ar-SA"/>
              </w:rPr>
              <w:t xml:space="preserve">2. Цель муниципальной программы </w:t>
              <w:br/>
              <w:t>«Организация и проведение информационно-пропагандистских мероприятий по разъяснению сущности терроризма и экстремизма, их общественной опасности»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1.3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794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200"/>
              <w:jc w:val="left"/>
              <w:rPr/>
            </w:pPr>
            <w:r>
              <w:rPr>
                <w:rStyle w:val="11"/>
                <w:rFonts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  <w:t>Количество проведенных мероприятий по профилактике и противодействию терроризму и экстремизму, гармонизации межнациональных отношений</w:t>
            </w:r>
          </w:p>
        </w:tc>
        <w:tc>
          <w:tcPr>
            <w:tcW w:w="67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99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8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6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tbl>
      <w:tblPr>
        <w:tblStyle w:val="45"/>
        <w:tblW w:w="14739" w:type="dxa"/>
        <w:jc w:val="left"/>
        <w:tblInd w:w="5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20"/>
        <w:gridCol w:w="1260"/>
        <w:gridCol w:w="1311"/>
        <w:gridCol w:w="1469"/>
        <w:gridCol w:w="1635"/>
        <w:gridCol w:w="1366"/>
        <w:gridCol w:w="1466"/>
        <w:gridCol w:w="1010"/>
      </w:tblGrid>
      <w:tr>
        <w:trPr>
          <w:trHeight w:val="462" w:hRule="atLeast"/>
        </w:trPr>
        <w:tc>
          <w:tcPr>
            <w:tcW w:w="522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4040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3001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466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101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894" w:hRule="atLeast"/>
        </w:trPr>
        <w:tc>
          <w:tcPr>
            <w:tcW w:w="522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46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63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466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1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52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2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31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6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3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6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0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Владимировского сельского поселения «Обеспечение пожарной безопасности и безопасности людей на водных объектах, профилактика терроризма и экстремизма» (всего),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27,9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974" w:hRule="atLeast"/>
        </w:trPr>
        <w:tc>
          <w:tcPr>
            <w:tcW w:w="522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 «Пожарная безопасность»,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19,7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29" w:hRule="atLeast"/>
        </w:trPr>
        <w:tc>
          <w:tcPr>
            <w:tcW w:w="5220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«Профилактика терроризма и экстремизма»,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shd w:color="auto" w:fill="auto" w:val="clea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«Обеспечение безопасности на водных объектах»,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5,2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2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1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8505" w:firstLine="709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0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5pt;margin-top:0.05pt;width:11.4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Application>LibreOffice/6.4.5.2$Windows_x86 LibreOffice_project/a726b36747cf2001e06b58ad5db1aa3a9a1872d6</Application>
  <Pages>4</Pages>
  <Words>506</Words>
  <Characters>3193</Characters>
  <CharactersWithSpaces>3496</CharactersWithSpaces>
  <Paragraphs>218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2025-07-15T13:15:00Z</dcterms:created>
  <dc:creator>1</dc:creator>
  <dc:description/>
  <dc:language>ru-RU</dc:language>
  <cp:lastModifiedBy/>
  <dcterms:modified xsi:type="dcterms:W3CDTF">2025-07-23T14:06:38Z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